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7835" w:rsidRPr="00377835" w:rsidRDefault="00377835" w:rsidP="00377835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</w:rPr>
      </w:pPr>
      <w:r w:rsidRPr="00377835">
        <w:rPr>
          <w:rFonts w:cstheme="minorHAnsi"/>
          <w:b/>
          <w:bCs/>
          <w:sz w:val="24"/>
        </w:rPr>
        <w:t xml:space="preserve">Determining requirements for digitisation programs and the disposal of source records </w:t>
      </w:r>
    </w:p>
    <w:p w:rsidR="00000000" w:rsidRPr="00377835" w:rsidRDefault="00377835" w:rsidP="00377835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b/>
          <w:color w:val="2E74B5" w:themeColor="accent5" w:themeShade="BF"/>
        </w:rPr>
      </w:pPr>
      <w:r w:rsidRPr="00377835">
        <w:rPr>
          <w:rFonts w:cstheme="minorHAnsi"/>
          <w:b/>
          <w:bCs/>
          <w:color w:val="2E74B5" w:themeColor="accent5" w:themeShade="BF"/>
        </w:rPr>
        <w:t xml:space="preserve">Questions and Answers </w:t>
      </w:r>
    </w:p>
    <w:p w:rsidR="00000000" w:rsidRPr="00377835" w:rsidRDefault="007F0EF4" w:rsidP="00377835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377835" w:rsidRPr="00377835" w:rsidRDefault="007F0EF4" w:rsidP="00377835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377835">
        <w:rPr>
          <w:rFonts w:cstheme="minorHAnsi"/>
        </w:rPr>
        <w:t xml:space="preserve">Are you able to send the link to the resource re: </w:t>
      </w:r>
      <w:r w:rsidR="00A3579C" w:rsidRPr="00377835">
        <w:rPr>
          <w:rFonts w:cstheme="minorHAnsi"/>
        </w:rPr>
        <w:t>t</w:t>
      </w:r>
      <w:r w:rsidRPr="00377835">
        <w:rPr>
          <w:rFonts w:cstheme="minorHAnsi"/>
        </w:rPr>
        <w:t>ech</w:t>
      </w:r>
      <w:r w:rsidRPr="00377835">
        <w:rPr>
          <w:rFonts w:cstheme="minorHAnsi"/>
        </w:rPr>
        <w:t>n</w:t>
      </w:r>
      <w:r w:rsidR="00A3579C" w:rsidRPr="00377835">
        <w:rPr>
          <w:rFonts w:cstheme="minorHAnsi"/>
        </w:rPr>
        <w:t>i</w:t>
      </w:r>
      <w:r w:rsidRPr="00377835">
        <w:rPr>
          <w:rFonts w:cstheme="minorHAnsi"/>
        </w:rPr>
        <w:t>cal specifications please</w:t>
      </w:r>
      <w:r w:rsidR="00A3579C" w:rsidRPr="00377835">
        <w:rPr>
          <w:rFonts w:cstheme="minorHAnsi"/>
        </w:rPr>
        <w:t>?</w:t>
      </w:r>
      <w:r w:rsidR="00377835">
        <w:rPr>
          <w:rFonts w:cstheme="minorHAnsi"/>
        </w:rPr>
        <w:tab/>
      </w:r>
    </w:p>
    <w:p w:rsidR="00377835" w:rsidRPr="00377835" w:rsidRDefault="007F0EF4" w:rsidP="00377835">
      <w:pPr>
        <w:widowControl w:val="0"/>
        <w:autoSpaceDE w:val="0"/>
        <w:autoSpaceDN w:val="0"/>
        <w:adjustRightInd w:val="0"/>
        <w:spacing w:before="240" w:after="0" w:line="240" w:lineRule="auto"/>
        <w:ind w:left="360"/>
        <w:rPr>
          <w:rFonts w:cstheme="minorHAnsi"/>
          <w:color w:val="4472C4" w:themeColor="accent1"/>
        </w:rPr>
      </w:pPr>
      <w:r w:rsidRPr="00377835">
        <w:rPr>
          <w:rFonts w:cstheme="minorHAnsi"/>
        </w:rPr>
        <w:t xml:space="preserve">A: </w:t>
      </w:r>
      <w:r w:rsidR="00A3579C" w:rsidRPr="00377835">
        <w:rPr>
          <w:rFonts w:cstheme="minorHAnsi"/>
        </w:rPr>
        <w:t>H</w:t>
      </w:r>
      <w:r w:rsidRPr="00377835">
        <w:rPr>
          <w:rFonts w:cstheme="minorHAnsi"/>
        </w:rPr>
        <w:t>ere's the link to our guidance:</w:t>
      </w:r>
      <w:r w:rsidR="00377835">
        <w:rPr>
          <w:rFonts w:cstheme="minorHAnsi"/>
        </w:rPr>
        <w:t xml:space="preserve"> </w:t>
      </w:r>
      <w:bookmarkStart w:id="0" w:name="_GoBack"/>
      <w:bookmarkEnd w:id="0"/>
      <w:r w:rsidR="00377835">
        <w:rPr>
          <w:rStyle w:val="Hyperlink"/>
          <w:rFonts w:cstheme="minorHAnsi"/>
          <w:color w:val="2E74B5" w:themeColor="accent5" w:themeShade="BF"/>
        </w:rPr>
        <w:fldChar w:fldCharType="begin"/>
      </w:r>
      <w:r w:rsidR="00377835">
        <w:rPr>
          <w:rStyle w:val="Hyperlink"/>
          <w:rFonts w:cstheme="minorHAnsi"/>
          <w:color w:val="2E74B5" w:themeColor="accent5" w:themeShade="BF"/>
        </w:rPr>
        <w:instrText xml:space="preserve"> HYPERLINK "</w:instrText>
      </w:r>
      <w:r w:rsidR="00377835" w:rsidRPr="00377835">
        <w:rPr>
          <w:rStyle w:val="Hyperlink"/>
          <w:rFonts w:cstheme="minorHAnsi"/>
          <w:color w:val="2E74B5" w:themeColor="accent5" w:themeShade="BF"/>
        </w:rPr>
        <w:instrText>https://www.records.nsw.gov.au/www.records.nsw.gov.au/recordkeeping/advice/digitisation-specifications-for-paper-records-in-public-offices</w:instrText>
      </w:r>
      <w:r w:rsidR="00377835">
        <w:rPr>
          <w:rStyle w:val="Hyperlink"/>
          <w:rFonts w:cstheme="minorHAnsi"/>
          <w:color w:val="2E74B5" w:themeColor="accent5" w:themeShade="BF"/>
        </w:rPr>
        <w:instrText xml:space="preserve">" </w:instrText>
      </w:r>
      <w:r w:rsidR="00377835">
        <w:rPr>
          <w:rStyle w:val="Hyperlink"/>
          <w:rFonts w:cstheme="minorHAnsi"/>
          <w:color w:val="2E74B5" w:themeColor="accent5" w:themeShade="BF"/>
        </w:rPr>
        <w:fldChar w:fldCharType="separate"/>
      </w:r>
      <w:r w:rsidR="00377835" w:rsidRPr="00EE1062">
        <w:rPr>
          <w:rStyle w:val="Hyperlink"/>
          <w:rFonts w:cstheme="minorHAnsi"/>
          <w:color w:val="034990" w:themeColor="hyperlink" w:themeShade="BF"/>
        </w:rPr>
        <w:t>https://www.records.nsw.gov.au/www.records.nsw.gov.au/recordkeeping/advice/digitisation-specifications-for-paper-records-in-public-offices</w:t>
      </w:r>
      <w:r w:rsidR="00377835">
        <w:rPr>
          <w:rStyle w:val="Hyperlink"/>
          <w:rFonts w:cstheme="minorHAnsi"/>
          <w:color w:val="2E74B5" w:themeColor="accent5" w:themeShade="BF"/>
        </w:rPr>
        <w:fldChar w:fldCharType="end"/>
      </w:r>
    </w:p>
    <w:p w:rsidR="00000000" w:rsidRPr="00377835" w:rsidRDefault="007F0EF4" w:rsidP="00377835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000000" w:rsidRPr="00377835" w:rsidRDefault="007F0EF4" w:rsidP="00377835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377835">
        <w:rPr>
          <w:rFonts w:cstheme="minorHAnsi"/>
        </w:rPr>
        <w:t>If we request to borrow a record in the State Archive, do we need to pay for the digitisation?</w:t>
      </w:r>
      <w:r w:rsidRPr="00377835">
        <w:rPr>
          <w:rFonts w:cstheme="minorHAnsi"/>
        </w:rPr>
        <w:t xml:space="preserve"> </w:t>
      </w:r>
    </w:p>
    <w:p w:rsidR="00000000" w:rsidRPr="00377835" w:rsidRDefault="007F0EF4" w:rsidP="00377835">
      <w:pPr>
        <w:spacing w:before="240" w:line="240" w:lineRule="auto"/>
        <w:ind w:left="360"/>
        <w:rPr>
          <w:rFonts w:cstheme="minorHAnsi"/>
        </w:rPr>
      </w:pPr>
      <w:bookmarkStart w:id="1" w:name="_Hlk68869650"/>
      <w:r w:rsidRPr="00377835">
        <w:rPr>
          <w:rFonts w:cstheme="minorHAnsi"/>
        </w:rPr>
        <w:t xml:space="preserve">A: </w:t>
      </w:r>
      <w:proofErr w:type="gramStart"/>
      <w:r w:rsidR="00A3579C" w:rsidRPr="00377835">
        <w:rPr>
          <w:rFonts w:cstheme="minorHAnsi"/>
        </w:rPr>
        <w:t>Yes</w:t>
      </w:r>
      <w:proofErr w:type="gramEnd"/>
      <w:r w:rsidR="00A3579C" w:rsidRPr="00377835">
        <w:rPr>
          <w:rFonts w:cstheme="minorHAnsi"/>
        </w:rPr>
        <w:t xml:space="preserve"> as all archive retrievals will be scanned on demand and delivered digitally through the </w:t>
      </w:r>
      <w:proofErr w:type="spellStart"/>
      <w:r w:rsidR="00A3579C" w:rsidRPr="00377835">
        <w:rPr>
          <w:rFonts w:cstheme="minorHAnsi"/>
        </w:rPr>
        <w:t>GRRWeb</w:t>
      </w:r>
      <w:proofErr w:type="spellEnd"/>
      <w:r w:rsidR="00A3579C" w:rsidRPr="00377835">
        <w:rPr>
          <w:rFonts w:cstheme="minorHAnsi"/>
        </w:rPr>
        <w:t xml:space="preserve">. </w:t>
      </w:r>
      <w:bookmarkEnd w:id="1"/>
      <w:r w:rsidR="00A3579C" w:rsidRPr="00377835">
        <w:rPr>
          <w:rFonts w:cstheme="minorHAnsi"/>
        </w:rPr>
        <w:t xml:space="preserve">The images will be available for two weeks. If your agency is not an existing </w:t>
      </w:r>
      <w:proofErr w:type="spellStart"/>
      <w:r w:rsidR="00A3579C" w:rsidRPr="00377835">
        <w:rPr>
          <w:rFonts w:cstheme="minorHAnsi"/>
        </w:rPr>
        <w:t>GRRWeb</w:t>
      </w:r>
      <w:proofErr w:type="spellEnd"/>
      <w:r w:rsidR="00A3579C" w:rsidRPr="00377835">
        <w:rPr>
          <w:rFonts w:cstheme="minorHAnsi"/>
        </w:rPr>
        <w:t xml:space="preserve"> user or if you want to find more information about this process and retrieval costs, please contact </w:t>
      </w:r>
      <w:hyperlink r:id="rId5" w:history="1">
        <w:r w:rsidR="00A3579C" w:rsidRPr="00377835">
          <w:rPr>
            <w:rStyle w:val="Hyperlink"/>
            <w:rFonts w:cstheme="minorHAnsi"/>
            <w:color w:val="2E74B5" w:themeColor="accent5" w:themeShade="BF"/>
          </w:rPr>
          <w:t>retrievearch@records.nsw.gov.au</w:t>
        </w:r>
      </w:hyperlink>
      <w:r w:rsidR="00A3579C" w:rsidRPr="00377835">
        <w:rPr>
          <w:rFonts w:cstheme="minorHAnsi"/>
          <w:color w:val="2E74B5" w:themeColor="accent5" w:themeShade="BF"/>
        </w:rPr>
        <w:t>.</w:t>
      </w:r>
    </w:p>
    <w:p w:rsidR="00000000" w:rsidRPr="00377835" w:rsidRDefault="007F0EF4" w:rsidP="00377835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377835">
        <w:rPr>
          <w:rFonts w:cstheme="minorHAnsi"/>
        </w:rPr>
        <w:t>We have a secondary system (Authority) which creates files into our Records Management System (CM</w:t>
      </w:r>
      <w:r w:rsidRPr="00377835">
        <w:rPr>
          <w:rFonts w:cstheme="minorHAnsi"/>
        </w:rPr>
        <w:t xml:space="preserve">) but cannot have leading zeros in the File number. </w:t>
      </w:r>
      <w:r w:rsidRPr="00377835">
        <w:rPr>
          <w:rFonts w:cstheme="minorHAnsi"/>
        </w:rPr>
        <w:t xml:space="preserve">Is this </w:t>
      </w:r>
      <w:proofErr w:type="gramStart"/>
      <w:r w:rsidRPr="00377835">
        <w:rPr>
          <w:rFonts w:cstheme="minorHAnsi"/>
        </w:rPr>
        <w:t>acceptable?[</w:t>
      </w:r>
      <w:proofErr w:type="gramEnd"/>
      <w:r w:rsidRPr="00377835">
        <w:rPr>
          <w:rFonts w:cstheme="minorHAnsi"/>
        </w:rPr>
        <w:t xml:space="preserve">Narelle </w:t>
      </w:r>
      <w:proofErr w:type="spellStart"/>
      <w:r w:rsidRPr="00377835">
        <w:rPr>
          <w:rFonts w:cstheme="minorHAnsi"/>
        </w:rPr>
        <w:t>Heness</w:t>
      </w:r>
      <w:proofErr w:type="spellEnd"/>
      <w:r w:rsidRPr="00377835">
        <w:rPr>
          <w:rFonts w:cstheme="minorHAnsi"/>
        </w:rPr>
        <w:t xml:space="preserve">] </w:t>
      </w:r>
      <w:r w:rsidRPr="00377835">
        <w:rPr>
          <w:rFonts w:cstheme="minorHAnsi"/>
        </w:rPr>
        <w:t>[</w:t>
      </w:r>
      <w:r w:rsidRPr="00377835">
        <w:rPr>
          <w:rFonts w:cstheme="minorHAnsi"/>
        </w:rPr>
        <w:t xml:space="preserve"> [Q: 10:36 AM] </w:t>
      </w:r>
    </w:p>
    <w:p w:rsidR="00377835" w:rsidRDefault="00377835" w:rsidP="00377835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000000" w:rsidRPr="00377835" w:rsidRDefault="00A3579C" w:rsidP="00377835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cstheme="minorHAnsi"/>
        </w:rPr>
      </w:pPr>
      <w:r w:rsidRPr="00377835">
        <w:rPr>
          <w:rFonts w:cstheme="minorHAnsi"/>
        </w:rPr>
        <w:t>A: Yes</w:t>
      </w:r>
      <w:r w:rsidRPr="00377835">
        <w:rPr>
          <w:rFonts w:cstheme="minorHAnsi"/>
        </w:rPr>
        <w:t>, this is acceptable. Please note that the information presented in the webinar about file naming conventions is a guideline and agencies</w:t>
      </w:r>
      <w:r w:rsidR="00386C27" w:rsidRPr="00377835">
        <w:rPr>
          <w:rFonts w:cstheme="minorHAnsi"/>
        </w:rPr>
        <w:t xml:space="preserve"> have the responsibility to decide how to best fulfil their business needs.</w:t>
      </w:r>
    </w:p>
    <w:p w:rsidR="00A3579C" w:rsidRPr="00377835" w:rsidRDefault="00A3579C" w:rsidP="00377835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386C27" w:rsidRDefault="00386C27" w:rsidP="00377835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377835">
        <w:rPr>
          <w:rFonts w:cstheme="minorHAnsi"/>
        </w:rPr>
        <w:t>I</w:t>
      </w:r>
      <w:r w:rsidR="007F0EF4" w:rsidRPr="00377835">
        <w:rPr>
          <w:rFonts w:cstheme="minorHAnsi"/>
        </w:rPr>
        <w:t>f records created in 1980 are in good conditions can we digitise and destroy</w:t>
      </w:r>
      <w:r w:rsidRPr="00377835">
        <w:rPr>
          <w:rFonts w:cstheme="minorHAnsi"/>
        </w:rPr>
        <w:t>?</w:t>
      </w:r>
    </w:p>
    <w:p w:rsidR="00377835" w:rsidRPr="00377835" w:rsidRDefault="00377835" w:rsidP="00377835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360"/>
        <w:rPr>
          <w:rFonts w:cstheme="minorHAnsi"/>
        </w:rPr>
      </w:pPr>
    </w:p>
    <w:p w:rsidR="00000000" w:rsidRPr="00377835" w:rsidRDefault="007F0EF4" w:rsidP="00377835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cstheme="minorHAnsi"/>
        </w:rPr>
      </w:pPr>
      <w:r w:rsidRPr="00377835">
        <w:rPr>
          <w:rFonts w:cstheme="minorHAnsi"/>
        </w:rPr>
        <w:t xml:space="preserve">A: </w:t>
      </w:r>
      <w:r w:rsidR="00386C27" w:rsidRPr="00377835">
        <w:rPr>
          <w:rFonts w:cstheme="minorHAnsi"/>
        </w:rPr>
        <w:t xml:space="preserve">Destruction is permitted for physical records created in or prior to 1980 </w:t>
      </w:r>
      <w:r w:rsidR="00386C27" w:rsidRPr="00377835">
        <w:rPr>
          <w:rFonts w:cstheme="minorHAnsi"/>
          <w:u w:val="single"/>
        </w:rPr>
        <w:t>as long as they are not required as State archives.</w:t>
      </w:r>
      <w:r w:rsidR="00386C27" w:rsidRPr="00377835">
        <w:rPr>
          <w:rFonts w:cstheme="minorHAnsi"/>
        </w:rPr>
        <w:t xml:space="preserve"> If they are created prior to 1980 and are required as State archives, please contact </w:t>
      </w:r>
      <w:hyperlink r:id="rId6" w:history="1">
        <w:r w:rsidR="00386C27" w:rsidRPr="00377835">
          <w:rPr>
            <w:rStyle w:val="Hyperlink"/>
            <w:rFonts w:cstheme="minorHAnsi"/>
            <w:color w:val="2E74B5" w:themeColor="accent5" w:themeShade="BF"/>
          </w:rPr>
          <w:t>govrec@records.nsw.gov.au</w:t>
        </w:r>
      </w:hyperlink>
      <w:r w:rsidR="00386C27" w:rsidRPr="00377835">
        <w:rPr>
          <w:rFonts w:cstheme="minorHAnsi"/>
        </w:rPr>
        <w:t xml:space="preserve"> for further information. </w:t>
      </w:r>
    </w:p>
    <w:p w:rsidR="00000000" w:rsidRPr="00377835" w:rsidRDefault="007F0EF4" w:rsidP="00377835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000000" w:rsidRDefault="007F0EF4" w:rsidP="00377835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377835">
        <w:rPr>
          <w:rFonts w:cstheme="minorHAnsi"/>
        </w:rPr>
        <w:t>I've read that sampling is OK. Can you comment more on this, please?</w:t>
      </w:r>
    </w:p>
    <w:p w:rsidR="00491E62" w:rsidRPr="00377835" w:rsidRDefault="00386C27" w:rsidP="00377835">
      <w:pPr>
        <w:widowControl w:val="0"/>
        <w:autoSpaceDE w:val="0"/>
        <w:autoSpaceDN w:val="0"/>
        <w:adjustRightInd w:val="0"/>
        <w:spacing w:before="240" w:after="0" w:line="240" w:lineRule="auto"/>
        <w:ind w:left="360"/>
        <w:rPr>
          <w:rFonts w:cstheme="minorHAnsi"/>
        </w:rPr>
      </w:pPr>
      <w:r w:rsidRPr="00377835">
        <w:rPr>
          <w:rFonts w:cstheme="minorHAnsi"/>
        </w:rPr>
        <w:t xml:space="preserve">A: </w:t>
      </w:r>
      <w:r w:rsidRPr="00377835">
        <w:rPr>
          <w:rFonts w:cstheme="minorHAnsi"/>
        </w:rPr>
        <w:t xml:space="preserve">Yes, sampling is one of those quality assurance </w:t>
      </w:r>
      <w:r w:rsidR="00377835" w:rsidRPr="00377835">
        <w:rPr>
          <w:rFonts w:cstheme="minorHAnsi"/>
        </w:rPr>
        <w:t>techniques</w:t>
      </w:r>
      <w:r w:rsidRPr="00377835">
        <w:rPr>
          <w:rFonts w:cstheme="minorHAnsi"/>
        </w:rPr>
        <w:t xml:space="preserve"> </w:t>
      </w:r>
      <w:r w:rsidR="00491E62" w:rsidRPr="00377835">
        <w:rPr>
          <w:rFonts w:cstheme="minorHAnsi"/>
        </w:rPr>
        <w:t xml:space="preserve">to control quality </w:t>
      </w:r>
      <w:r w:rsidRPr="00377835">
        <w:rPr>
          <w:rFonts w:cstheme="minorHAnsi"/>
        </w:rPr>
        <w:t>used especially for big digitisation projects where checking each scanned image w</w:t>
      </w:r>
      <w:r w:rsidR="00491E62" w:rsidRPr="00377835">
        <w:rPr>
          <w:rFonts w:cstheme="minorHAnsi"/>
        </w:rPr>
        <w:t xml:space="preserve">ill be costly and resource intensive. </w:t>
      </w:r>
    </w:p>
    <w:p w:rsidR="00491E62" w:rsidRPr="00377835" w:rsidRDefault="00377835" w:rsidP="00377835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ab/>
      </w:r>
    </w:p>
    <w:p w:rsidR="00386C27" w:rsidRPr="00377835" w:rsidRDefault="00491E62" w:rsidP="00377835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cstheme="minorHAnsi"/>
        </w:rPr>
      </w:pPr>
      <w:r w:rsidRPr="00377835">
        <w:rPr>
          <w:rFonts w:cstheme="minorHAnsi"/>
        </w:rPr>
        <w:t xml:space="preserve">However, for day-to-day or BAU scanning activities, e.g. scanning incoming correspondence, we’d recommend immediately checking the quality of the images prior to disposing of the physical copy. </w:t>
      </w:r>
    </w:p>
    <w:p w:rsidR="00000000" w:rsidRPr="00377835" w:rsidRDefault="007F0EF4" w:rsidP="00377835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000000" w:rsidRPr="00377835" w:rsidRDefault="007F0EF4" w:rsidP="00377835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377835">
        <w:rPr>
          <w:rFonts w:cstheme="minorHAnsi"/>
        </w:rPr>
        <w:t>What is the timeline for digital retrieval of records transferred as State Archives</w:t>
      </w:r>
    </w:p>
    <w:p w:rsidR="00377835" w:rsidRPr="00377835" w:rsidRDefault="00491E62" w:rsidP="00377835">
      <w:pPr>
        <w:spacing w:before="240" w:line="240" w:lineRule="auto"/>
        <w:ind w:left="360"/>
        <w:rPr>
          <w:rFonts w:cstheme="minorHAnsi"/>
        </w:rPr>
      </w:pPr>
      <w:r w:rsidRPr="00377835">
        <w:rPr>
          <w:rFonts w:cstheme="minorHAnsi"/>
        </w:rPr>
        <w:t xml:space="preserve">A: </w:t>
      </w:r>
      <w:r w:rsidRPr="00377835">
        <w:rPr>
          <w:rFonts w:cstheme="minorHAnsi"/>
        </w:rPr>
        <w:t>Straightforward jobs are up</w:t>
      </w:r>
      <w:r w:rsidRPr="00377835">
        <w:rPr>
          <w:rFonts w:cstheme="minorHAnsi"/>
        </w:rPr>
        <w:t>loaded</w:t>
      </w:r>
      <w:r w:rsidRPr="00377835">
        <w:rPr>
          <w:rFonts w:cstheme="minorHAnsi"/>
        </w:rPr>
        <w:t xml:space="preserve"> on the </w:t>
      </w:r>
      <w:proofErr w:type="spellStart"/>
      <w:r w:rsidRPr="00377835">
        <w:rPr>
          <w:rFonts w:cstheme="minorHAnsi"/>
        </w:rPr>
        <w:t>GRRW</w:t>
      </w:r>
      <w:r w:rsidRPr="00377835">
        <w:rPr>
          <w:rFonts w:cstheme="minorHAnsi"/>
        </w:rPr>
        <w:t>eb</w:t>
      </w:r>
      <w:proofErr w:type="spellEnd"/>
      <w:r w:rsidRPr="00377835">
        <w:rPr>
          <w:rFonts w:cstheme="minorHAnsi"/>
        </w:rPr>
        <w:t xml:space="preserve"> within three working days. If the file requires conservation treatment before it can be scanned, this can add a day or so. We will notify the client if it will be more than a couple of days extra.</w:t>
      </w:r>
    </w:p>
    <w:p w:rsidR="00000000" w:rsidRPr="00377835" w:rsidRDefault="007F0EF4" w:rsidP="00377835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377835">
        <w:rPr>
          <w:rFonts w:cstheme="minorHAnsi"/>
        </w:rPr>
        <w:t>Is there a recommended approach to back capturing digital images of phy</w:t>
      </w:r>
      <w:r w:rsidRPr="00377835">
        <w:rPr>
          <w:rFonts w:cstheme="minorHAnsi"/>
        </w:rPr>
        <w:t>s</w:t>
      </w:r>
      <w:r w:rsidR="00491E62" w:rsidRPr="00377835">
        <w:rPr>
          <w:rFonts w:cstheme="minorHAnsi"/>
        </w:rPr>
        <w:t>i</w:t>
      </w:r>
      <w:r w:rsidRPr="00377835">
        <w:rPr>
          <w:rFonts w:cstheme="minorHAnsi"/>
        </w:rPr>
        <w:t>c</w:t>
      </w:r>
      <w:r w:rsidRPr="00377835">
        <w:rPr>
          <w:rFonts w:cstheme="minorHAnsi"/>
        </w:rPr>
        <w:t>al files (e.g. each document is scanned, or all documents scanned as one set, or somewhere in bet</w:t>
      </w:r>
      <w:r w:rsidRPr="00377835">
        <w:rPr>
          <w:rFonts w:cstheme="minorHAnsi"/>
        </w:rPr>
        <w:t>ween)?</w:t>
      </w:r>
    </w:p>
    <w:p w:rsidR="00000000" w:rsidRPr="00377835" w:rsidRDefault="00491E62" w:rsidP="00377835">
      <w:pPr>
        <w:spacing w:before="240" w:line="240" w:lineRule="auto"/>
        <w:ind w:left="360"/>
        <w:rPr>
          <w:rFonts w:cstheme="minorHAnsi"/>
        </w:rPr>
      </w:pPr>
      <w:r w:rsidRPr="00377835">
        <w:rPr>
          <w:rFonts w:cstheme="minorHAnsi"/>
        </w:rPr>
        <w:t>A:</w:t>
      </w:r>
      <w:r w:rsidRPr="00377835">
        <w:rPr>
          <w:rFonts w:cstheme="minorHAnsi"/>
        </w:rPr>
        <w:t xml:space="preserve"> </w:t>
      </w:r>
      <w:r w:rsidR="003D7143" w:rsidRPr="00377835">
        <w:rPr>
          <w:rFonts w:cstheme="minorHAnsi"/>
        </w:rPr>
        <w:t>No, t</w:t>
      </w:r>
      <w:r w:rsidRPr="00377835">
        <w:rPr>
          <w:rFonts w:cstheme="minorHAnsi"/>
        </w:rPr>
        <w:t xml:space="preserve">here isn’t a recommended approach. It will be dependent on the needs of the agency, specifically how the records will be accessed and used by the staff later on.     </w:t>
      </w:r>
    </w:p>
    <w:p w:rsidR="00000000" w:rsidRPr="00377835" w:rsidRDefault="007F0EF4" w:rsidP="00377835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377835">
        <w:rPr>
          <w:rFonts w:cstheme="minorHAnsi"/>
        </w:rPr>
        <w:lastRenderedPageBreak/>
        <w:t>Does the RSA</w:t>
      </w:r>
      <w:r w:rsidR="00DF319E" w:rsidRPr="00377835">
        <w:rPr>
          <w:rFonts w:cstheme="minorHAnsi"/>
        </w:rPr>
        <w:t xml:space="preserve"> [Required as State archives]</w:t>
      </w:r>
      <w:r w:rsidRPr="00377835">
        <w:rPr>
          <w:rFonts w:cstheme="minorHAnsi"/>
        </w:rPr>
        <w:t xml:space="preserve"> class still automatically apply to pre-1920 </w:t>
      </w:r>
      <w:r w:rsidR="00DF319E" w:rsidRPr="00377835">
        <w:rPr>
          <w:rFonts w:cstheme="minorHAnsi"/>
        </w:rPr>
        <w:t xml:space="preserve">Council </w:t>
      </w:r>
      <w:r w:rsidRPr="00377835">
        <w:rPr>
          <w:rFonts w:cstheme="minorHAnsi"/>
        </w:rPr>
        <w:t xml:space="preserve">records? </w:t>
      </w:r>
    </w:p>
    <w:p w:rsidR="00491E62" w:rsidRPr="00377835" w:rsidRDefault="00DF319E" w:rsidP="00377835">
      <w:pPr>
        <w:widowControl w:val="0"/>
        <w:autoSpaceDE w:val="0"/>
        <w:autoSpaceDN w:val="0"/>
        <w:adjustRightInd w:val="0"/>
        <w:spacing w:before="240" w:after="0" w:line="240" w:lineRule="auto"/>
        <w:ind w:left="360"/>
        <w:rPr>
          <w:rFonts w:cstheme="minorHAnsi"/>
        </w:rPr>
      </w:pPr>
      <w:r w:rsidRPr="00377835">
        <w:rPr>
          <w:rFonts w:cstheme="minorHAnsi"/>
        </w:rPr>
        <w:t xml:space="preserve">A: </w:t>
      </w:r>
      <w:r w:rsidR="003D7143" w:rsidRPr="00377835">
        <w:rPr>
          <w:rFonts w:cstheme="minorHAnsi"/>
        </w:rPr>
        <w:t xml:space="preserve">Yes. The </w:t>
      </w:r>
      <w:r w:rsidR="003D7143" w:rsidRPr="00377835">
        <w:rPr>
          <w:rFonts w:cstheme="minorHAnsi"/>
        </w:rPr>
        <w:t>pre-</w:t>
      </w:r>
      <w:r w:rsidR="003D7143" w:rsidRPr="00377835">
        <w:rPr>
          <w:rFonts w:cstheme="minorHAnsi"/>
        </w:rPr>
        <w:t xml:space="preserve">1920 clause </w:t>
      </w:r>
      <w:proofErr w:type="gramStart"/>
      <w:r w:rsidR="003D7143" w:rsidRPr="00377835">
        <w:rPr>
          <w:rFonts w:cstheme="minorHAnsi"/>
        </w:rPr>
        <w:t>is based on the assumption</w:t>
      </w:r>
      <w:proofErr w:type="gramEnd"/>
      <w:r w:rsidR="003D7143" w:rsidRPr="00377835">
        <w:rPr>
          <w:rFonts w:cstheme="minorHAnsi"/>
        </w:rPr>
        <w:t xml:space="preserve"> that </w:t>
      </w:r>
      <w:r w:rsidR="003D7143" w:rsidRPr="00377835">
        <w:rPr>
          <w:rFonts w:cstheme="minorHAnsi"/>
        </w:rPr>
        <w:t xml:space="preserve">there weren’t many </w:t>
      </w:r>
      <w:r w:rsidR="003D7143" w:rsidRPr="00377835">
        <w:rPr>
          <w:rFonts w:cstheme="minorHAnsi"/>
        </w:rPr>
        <w:t>Council</w:t>
      </w:r>
      <w:r w:rsidR="003D7143" w:rsidRPr="00377835">
        <w:rPr>
          <w:rFonts w:cstheme="minorHAnsi"/>
        </w:rPr>
        <w:t xml:space="preserve"> records that are around. Please contact us at </w:t>
      </w:r>
      <w:hyperlink r:id="rId7" w:history="1">
        <w:r w:rsidR="003D7143" w:rsidRPr="00377835">
          <w:rPr>
            <w:rStyle w:val="Hyperlink"/>
            <w:rFonts w:cstheme="minorHAnsi"/>
            <w:color w:val="2E74B5" w:themeColor="accent5" w:themeShade="BF"/>
          </w:rPr>
          <w:t>govrec@records.nsw.gov.au</w:t>
        </w:r>
      </w:hyperlink>
      <w:r w:rsidR="003D7143" w:rsidRPr="00377835">
        <w:rPr>
          <w:rFonts w:cstheme="minorHAnsi"/>
        </w:rPr>
        <w:t xml:space="preserve"> for more information.  </w:t>
      </w:r>
    </w:p>
    <w:p w:rsidR="00000000" w:rsidRPr="00377835" w:rsidRDefault="007F0EF4" w:rsidP="00377835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000000" w:rsidRPr="00377835" w:rsidRDefault="007F0EF4" w:rsidP="00377835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6C0F98" w:rsidRPr="00377835" w:rsidRDefault="007F0EF4" w:rsidP="00377835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377835">
        <w:rPr>
          <w:rFonts w:cstheme="minorHAnsi"/>
        </w:rPr>
        <w:t>We have mi</w:t>
      </w:r>
      <w:r w:rsidRPr="00377835">
        <w:rPr>
          <w:rFonts w:cstheme="minorHAnsi"/>
        </w:rPr>
        <w:t>grated data from one EDRMS</w:t>
      </w:r>
      <w:r w:rsidR="003D7143" w:rsidRPr="00377835">
        <w:rPr>
          <w:rFonts w:cstheme="minorHAnsi"/>
        </w:rPr>
        <w:t xml:space="preserve"> </w:t>
      </w:r>
      <w:r w:rsidRPr="00377835">
        <w:rPr>
          <w:rFonts w:cstheme="minorHAnsi"/>
        </w:rPr>
        <w:t>into a new one, and will shortly migrate another old EDRMS into the same new one. There is also a chance we will shortly migrate everything to yet another new EDRMS. Can y</w:t>
      </w:r>
      <w:r w:rsidR="003D7143" w:rsidRPr="00377835">
        <w:rPr>
          <w:rFonts w:cstheme="minorHAnsi"/>
        </w:rPr>
        <w:t>o</w:t>
      </w:r>
      <w:r w:rsidRPr="00377835">
        <w:rPr>
          <w:rFonts w:cstheme="minorHAnsi"/>
        </w:rPr>
        <w:t>u please expand on how exclusion 7 would apply in this ins</w:t>
      </w:r>
      <w:r w:rsidRPr="00377835">
        <w:rPr>
          <w:rFonts w:cstheme="minorHAnsi"/>
        </w:rPr>
        <w:t>tance?</w:t>
      </w:r>
    </w:p>
    <w:p w:rsidR="006C0F98" w:rsidRPr="00377835" w:rsidRDefault="006C0F98" w:rsidP="00377835">
      <w:pPr>
        <w:widowControl w:val="0"/>
        <w:autoSpaceDE w:val="0"/>
        <w:autoSpaceDN w:val="0"/>
        <w:adjustRightInd w:val="0"/>
        <w:spacing w:before="240" w:after="0" w:line="240" w:lineRule="auto"/>
        <w:ind w:left="360"/>
        <w:rPr>
          <w:rFonts w:cstheme="minorHAnsi"/>
        </w:rPr>
      </w:pPr>
      <w:r w:rsidRPr="00377835">
        <w:rPr>
          <w:rFonts w:cstheme="minorHAnsi"/>
        </w:rPr>
        <w:t xml:space="preserve">A: </w:t>
      </w:r>
      <w:r w:rsidRPr="00377835">
        <w:rPr>
          <w:rFonts w:cstheme="minorHAnsi"/>
        </w:rPr>
        <w:t xml:space="preserve">As per GA45, the migrated data from your several EDRMS solutions is excluded. If you wish to dispose of the records that have been migrated, please use the </w:t>
      </w:r>
      <w:hyperlink r:id="rId8" w:history="1">
        <w:r w:rsidRPr="00377835">
          <w:rPr>
            <w:rStyle w:val="Hyperlink"/>
            <w:rFonts w:cstheme="minorHAnsi"/>
            <w:i/>
            <w:color w:val="2E74B5" w:themeColor="accent5" w:themeShade="BF"/>
          </w:rPr>
          <w:t>General retention and disposal authority: source records that have been migrated (GA48)</w:t>
        </w:r>
      </w:hyperlink>
      <w:r w:rsidRPr="00377835">
        <w:rPr>
          <w:rFonts w:cstheme="minorHAnsi"/>
          <w:i/>
        </w:rPr>
        <w:t xml:space="preserve">. </w:t>
      </w:r>
      <w:r w:rsidRPr="00377835">
        <w:rPr>
          <w:rFonts w:cstheme="minorHAnsi"/>
        </w:rPr>
        <w:t xml:space="preserve">Please check </w:t>
      </w:r>
      <w:proofErr w:type="spellStart"/>
      <w:r w:rsidRPr="00377835">
        <w:rPr>
          <w:rFonts w:cstheme="minorHAnsi"/>
        </w:rPr>
        <w:t>our</w:t>
      </w:r>
      <w:proofErr w:type="spellEnd"/>
      <w:r w:rsidRPr="00377835">
        <w:rPr>
          <w:rFonts w:cstheme="minorHAnsi"/>
        </w:rPr>
        <w:t xml:space="preserve"> guidance: </w:t>
      </w:r>
      <w:hyperlink r:id="rId9" w:history="1">
        <w:r w:rsidRPr="00377835">
          <w:rPr>
            <w:rStyle w:val="Hyperlink"/>
            <w:rFonts w:cstheme="minorHAnsi"/>
            <w:color w:val="2E74B5" w:themeColor="accent5" w:themeShade="BF"/>
          </w:rPr>
          <w:t>Migrating records: managing source records after migration | NSW State Archives</w:t>
        </w:r>
      </w:hyperlink>
      <w:r w:rsidRPr="00377835">
        <w:rPr>
          <w:rFonts w:cstheme="minorHAnsi"/>
        </w:rPr>
        <w:t xml:space="preserve"> for more information.  </w:t>
      </w:r>
    </w:p>
    <w:p w:rsidR="00000000" w:rsidRPr="00377835" w:rsidRDefault="007F0EF4" w:rsidP="00377835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000000" w:rsidRPr="00377835" w:rsidRDefault="007F0EF4" w:rsidP="00377835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6C0F98" w:rsidRDefault="00377835" w:rsidP="00377835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T</w:t>
      </w:r>
      <w:r w:rsidR="007F0EF4" w:rsidRPr="00377835">
        <w:rPr>
          <w:rFonts w:cstheme="minorHAnsi"/>
        </w:rPr>
        <w:t>here is a checklist for GA45 which is quite useful</w:t>
      </w:r>
    </w:p>
    <w:p w:rsidR="00000000" w:rsidRPr="00377835" w:rsidRDefault="006C0F98" w:rsidP="00377835">
      <w:pPr>
        <w:widowControl w:val="0"/>
        <w:autoSpaceDE w:val="0"/>
        <w:autoSpaceDN w:val="0"/>
        <w:adjustRightInd w:val="0"/>
        <w:spacing w:before="240" w:after="0" w:line="240" w:lineRule="auto"/>
        <w:ind w:firstLine="360"/>
        <w:rPr>
          <w:rFonts w:cstheme="minorHAnsi"/>
        </w:rPr>
      </w:pPr>
      <w:r w:rsidRPr="00377835">
        <w:rPr>
          <w:rFonts w:cstheme="minorHAnsi"/>
        </w:rPr>
        <w:t>A: Here’s the link to the checklist:</w:t>
      </w:r>
      <w:r w:rsidRPr="00377835">
        <w:rPr>
          <w:rFonts w:cstheme="minorHAnsi"/>
          <w:color w:val="2E74B5" w:themeColor="accent5" w:themeShade="BF"/>
        </w:rPr>
        <w:t xml:space="preserve"> </w:t>
      </w:r>
      <w:hyperlink r:id="rId10" w:history="1">
        <w:r w:rsidRPr="00377835">
          <w:rPr>
            <w:rStyle w:val="Hyperlink"/>
            <w:rFonts w:cstheme="minorHAnsi"/>
            <w:color w:val="2E74B5" w:themeColor="accent5" w:themeShade="BF"/>
          </w:rPr>
          <w:t>Checklist: GA45 | NSW State Archives</w:t>
        </w:r>
      </w:hyperlink>
    </w:p>
    <w:p w:rsidR="007F0EF4" w:rsidRPr="00377835" w:rsidRDefault="007F0EF4" w:rsidP="00377835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sectPr w:rsidR="007F0EF4" w:rsidRPr="00377835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C520CD"/>
    <w:multiLevelType w:val="hybridMultilevel"/>
    <w:tmpl w:val="7988C99C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0970A07"/>
    <w:multiLevelType w:val="hybridMultilevel"/>
    <w:tmpl w:val="E1700156"/>
    <w:lvl w:ilvl="0" w:tplc="0C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79C"/>
    <w:rsid w:val="001D04B3"/>
    <w:rsid w:val="00377835"/>
    <w:rsid w:val="00386C27"/>
    <w:rsid w:val="003D7143"/>
    <w:rsid w:val="00491E62"/>
    <w:rsid w:val="006C0F98"/>
    <w:rsid w:val="007F0EF4"/>
    <w:rsid w:val="00A3579C"/>
    <w:rsid w:val="00DF3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745698B"/>
  <w14:defaultImageDpi w14:val="0"/>
  <w15:docId w15:val="{5AA3B654-35ED-4FCB-99F7-5EEF73449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3579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3579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778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32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cords.nsw.gov.au/node/525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ovrec@records.nsw.gov.a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ovrec@records.nsw.gov.au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retrievearch@records.nsw.gov.au" TargetMode="External"/><Relationship Id="rId10" Type="http://schemas.openxmlformats.org/officeDocument/2006/relationships/hyperlink" Target="https://www.records.nsw.gov.au/recordkeeping/checklist-ga4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records.nsw.gov.au/recordkeeping/migrating-records%3A-managing-source-records-after-migra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648</Words>
  <Characters>3697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Irene.Chymyn</dc:creator>
  <cp:keywords/>
  <dc:description/>
  <cp:lastModifiedBy>Irene.Chymyn</cp:lastModifiedBy>
  <cp:revision>3</cp:revision>
  <dcterms:created xsi:type="dcterms:W3CDTF">2021-04-09T05:00:00Z</dcterms:created>
  <dcterms:modified xsi:type="dcterms:W3CDTF">2021-04-09T05:09:00Z</dcterms:modified>
</cp:coreProperties>
</file>